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spacing w:before="65" w:after="0" w:line="27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THE 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AZIZ AND NILG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ŰN SEZGINI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Ṣ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FAMILY SCHOLARSHIP </w:t>
      </w:r>
    </w:p>
    <w:p>
      <w:pPr>
        <w:spacing w:before="271" w:after="0" w:line="276" w:lineRule="exact"/>
        <w:ind w:right="0" w:left="0" w:firstLine="72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Originally from Turkey, Aziz (retired officer from Turkish air force)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and Nilgün Sezgini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ş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were drawn to Toledo area to be close to the family in 1987. They quickly became active members of the Islamic Center, enrolling their children in the Weekend School program.</w:t>
      </w:r>
    </w:p>
    <w:p>
      <w:pPr>
        <w:spacing w:before="274" w:after="0" w:line="276" w:lineRule="exact"/>
        <w:ind w:right="0" w:left="0" w:firstLine="72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Right after they were married in 1976, Aziz went back to school and earned his second degree in business/marketing from University of Texas in San Antonio, while he was working at Braniff Airlines and raising family. Nilgün earned her 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bachelor’s degree in healthcare 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administration and masters in public health, only returning to school after raising her children and seeing each on his way into his profession. Volkan 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earned his bachelor’s in e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lectrical engineering from the University of Toledo and Aral was awarded his MD from the Ohio State University and specialized and board certified in Physical Medicine and Rehabilitation and joined a practice in Texas. Alkan is currently enrolled at Ohio 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State University’s dental school </w:t>
      </w:r>
      <w:r>
        <w:rPr>
          <w:rFonts w:ascii="Times New Roman" w:hAnsi="Times New Roman" w:eastAsia="Times New Roman"/>
          <w:strike w:val="false"/>
          <w:color w:val="000000"/>
          <w:spacing w:val="2"/>
          <w:w w:val="100"/>
          <w:sz w:val="24"/>
          <w:vertAlign w:val="baseline"/>
          <w:lang w:val="en-US"/>
        </w:rPr>
        <w:t xml:space="preserve">program. It is obvious that Aziz and Nilgün hold education near and dear to their hearts and have instilled that same significance in their sons.</w:t>
      </w:r>
    </w:p>
    <w:p>
      <w:pPr>
        <w:spacing w:before="276" w:after="0" w:line="272" w:lineRule="exact"/>
        <w:ind w:right="0" w:left="0" w:firstLine="72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The Sezgini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ş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Family has generously funded a $200 annual scholarship in memory and honor of Nilgü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n’s mother,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M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üzeyyen Yapra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ğigü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r, who lived near them for 30 years prior to her death in 2009.</w:t>
      </w:r>
    </w:p>
    <w:p>
      <w:pPr>
        <w:sectPr>
          <w:type w:val="nextPage"/>
          <w:pgSz w:w="12240" w:h="15840" w:orient="portrait"/>
          <w:pgMar w:bottom="8204" w:top="1380" w:right="1419" w:left="1421" w:header="720" w:footer="720"/>
          <w:titlePg w:val="false"/>
          <w:textDirection w:val="lrTb"/>
        </w:sectPr>
      </w:pPr>
    </w:p>
    <w:p>
      <w:pPr>
        <w:spacing w:before="5" w:after="0" w:line="278" w:lineRule="exact"/>
        <w:ind w:right="0" w:left="0" w:firstLine="0"/>
        <w:jc w:val="center"/>
        <w:textAlignment w:val="baseline"/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</w:pP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THE AZIZ AND NILG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ŰN SEZGINI</w:t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Ṣ
</w:t>
        <w:br/>
      </w:r>
      <w:r>
        <w:rPr>
          <w:rFonts w:ascii="Times New Roman" w:hAnsi="Times New Roman" w:eastAsia="Times New Roman"/>
          <w:b w:val="true"/>
          <w:strike w:val="false"/>
          <w:color w:val="000000"/>
          <w:spacing w:val="0"/>
          <w:w w:val="100"/>
          <w:sz w:val="24"/>
          <w:u w:val="single"/>
          <w:vertAlign w:val="baseline"/>
          <w:lang w:val="en-US"/>
        </w:rPr>
        <w:t xml:space="preserve">FAMILY SCHOLARSHIP </w:t>
      </w:r>
    </w:p>
    <w:p>
      <w:pPr>
        <w:spacing w:before="546" w:after="0" w:line="276" w:lineRule="exact"/>
        <w:ind w:right="0" w:left="0" w:firstLine="720"/>
        <w:jc w:val="both"/>
        <w:textAlignment w:val="baseline"/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</w:pP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This scholarship is available to a Muslim high school graduate attending college or university in the greater Toledo area (specifically: UT, Owens Community College, BGSU, Lourdes College, Mercy College of Nursing). The scholarship is GPA-based (minimum of 3.5 GPA) with a preference to a student with financial needs. The student must meet all other </w:t>
      </w:r>
      <w:r>
        <w:rPr>
          <w:rFonts w:ascii="Times New Roman" w:hAnsi="Times New Roman" w:eastAsia="Times New Roman"/>
          <w:strike w:val="false"/>
          <w:color w:val="000000"/>
          <w:spacing w:val="0"/>
          <w:w w:val="100"/>
          <w:sz w:val="24"/>
          <w:vertAlign w:val="baseline"/>
          <w:lang w:val="en-US"/>
        </w:rPr>
        <w:t xml:space="preserve">requirements set by the Foundation’s Scholarship Committee.</w:t>
      </w:r>
    </w:p>
    <w:sectPr>
      <w:type w:val="nextPage"/>
      <w:pgSz w:w="12240" w:h="15840" w:orient="portrait"/>
      <w:pgMar w:bottom="11504" w:top="1440" w:right="1417" w:left="142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drId1" /><Relationship Type="http://schemas.openxmlformats.org/officeDocument/2006/relationships/styles" Target="styles.xml" Id="drId0" /><Relationship Type="http://schemas.openxmlformats.org/wordprocessingml/2006/fontTable" Target="fontTable.xml" Id="drId2" /></Relationships>
</file>